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БУ ВО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Дом</w:t>
      </w:r>
      <w:proofErr w:type="gramEnd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-интернат для престарелых 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 «Пансионат «Кантемировский»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28»  декабря</w:t>
      </w:r>
      <w:proofErr w:type="gramEnd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г. № 140/ОД    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_____________Е.Ю.Кравченко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Учетная политика</w:t>
      </w:r>
    </w:p>
    <w:p w:rsidR="00312EB5" w:rsidRPr="00312EB5" w:rsidRDefault="00312EB5" w:rsidP="0031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Бюджетное учреждение</w:t>
      </w: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 «Дом-интернат для престарелых и инвалидов «Пансионат «Кантемировский»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</w:t>
      </w:r>
    </w:p>
    <w:p w:rsidR="00312EB5" w:rsidRPr="00312EB5" w:rsidRDefault="00312EB5" w:rsidP="00312EB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312EB5" w:rsidRPr="00312EB5" w:rsidRDefault="00312EB5" w:rsidP="00312EB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</w:t>
      </w:r>
    </w:p>
    <w:p w:rsidR="00312EB5" w:rsidRPr="00312EB5" w:rsidRDefault="00312EB5" w:rsidP="00312EB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БУ ВО «Дом-интернат для престарелых и инвалидов «Пансионат «Кантемировский» (далее – Учреждение):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-Федеральный закон «О бухгалтерском учете» от 06.12.2011г. № 402-ФЗ (далее - Закон 402-ФЗ);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- Приказ 256н);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 (далее - Приказ 257н);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31.12.2016 № 258н «Об утверждении федерального стандарта бухгалтерского учета для организаций государственного сектора «Аренда» (далее - Приказ 258н);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31.12.2016 № 259н «Об утверждении федерального стандарта бухгалтерского учета для организаций государственного сектора «Обесценение активов» (далее - Приказ 259н);</w:t>
      </w:r>
    </w:p>
    <w:p w:rsidR="00312EB5" w:rsidRPr="00312EB5" w:rsidRDefault="00312EB5" w:rsidP="00312EB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31.12.2016 № 260н «Об утверждении федерального стандарта бухгалтерского учета для организаций</w:t>
      </w: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 сектора «Представление бухгалтерской (финансовой) отчетности» (далее - Приказ 260н);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Приказ 274н);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30.12.2017 № 275н «Об утверждении федерального стандарта бухгалтерского учета для организаций государственного сектора «События после отчетной даты» (далее - Приказ 275н);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-Приказ Минфина России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 (далее - Приказ 278н);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27.02.2018 № 32н «Об утверждении федерального стандарта бухгалтерского учета для организаций государственного сектора «Доходы» (далее - Приказ 32н);</w:t>
      </w:r>
    </w:p>
    <w:p w:rsidR="00312EB5" w:rsidRPr="00312EB5" w:rsidRDefault="00312EB5" w:rsidP="00312EB5">
      <w:pPr>
        <w:spacing w:after="0" w:line="240" w:lineRule="auto"/>
        <w:ind w:left="60" w:right="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30.05.2018 № 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 (далее - Приказ 122н);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157н);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16.12. 2010 г. № 174н «Об утверждении Плана счетов бухгалтерского учета бюджетных учреждений и Инструкции по его применению;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(Далее - Приказ 132н);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29.11.2017г. № 209н «Об утверждении Порядка применения классификации операций сектора государственного управления» (Далее - Приказ 209н);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52н);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-Приказ Минфина РФ от 25 марта 2011г. № </w:t>
      </w:r>
      <w:proofErr w:type="spellStart"/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ЗЗн</w:t>
      </w:r>
      <w:proofErr w:type="spellEnd"/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</w:p>
    <w:p w:rsidR="00312EB5" w:rsidRPr="00312EB5" w:rsidRDefault="00312EB5" w:rsidP="00312EB5">
      <w:pPr>
        <w:spacing w:after="0" w:line="240" w:lineRule="auto"/>
        <w:ind w:left="80" w:right="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-Приказ Минфина РФ от 13.06.1995 № 49 «Об утверждении Методических указаний по инвентаризации имущества и финансовых обязательств» (далее - Приказ 49);</w:t>
      </w:r>
    </w:p>
    <w:p w:rsidR="00312EB5" w:rsidRPr="00312EB5" w:rsidRDefault="00312EB5" w:rsidP="00312EB5">
      <w:pPr>
        <w:spacing w:after="0" w:line="240" w:lineRule="auto"/>
        <w:ind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- Указание 3210-У);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-Устав учреждения БУ ВО «Дом-интернат для престарелых и инвалидов «Пансионат «Кантемировский»</w:t>
      </w:r>
    </w:p>
    <w:p w:rsidR="00312EB5" w:rsidRPr="00312EB5" w:rsidRDefault="00312EB5" w:rsidP="00312E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Раздел 1. Об организации учетного процесса</w:t>
      </w:r>
    </w:p>
    <w:p w:rsidR="00312EB5" w:rsidRPr="00312EB5" w:rsidRDefault="00312EB5" w:rsidP="00312EB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Правила документооборота и технология</w:t>
      </w:r>
    </w:p>
    <w:p w:rsidR="00312EB5" w:rsidRPr="00312EB5" w:rsidRDefault="00312EB5" w:rsidP="00312EB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обработки учетной информации</w:t>
      </w:r>
    </w:p>
    <w:p w:rsidR="00312EB5" w:rsidRPr="00312EB5" w:rsidRDefault="00312EB5" w:rsidP="0031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Электронный документооборот в Учреждении осуществляется по следующим направлениям:</w:t>
      </w:r>
    </w:p>
    <w:p w:rsidR="00312EB5" w:rsidRPr="00312EB5" w:rsidRDefault="00312EB5" w:rsidP="00312EB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бухгалтерской отчетности учредителю,</w:t>
      </w:r>
    </w:p>
    <w:p w:rsidR="00312EB5" w:rsidRPr="00312EB5" w:rsidRDefault="00312EB5" w:rsidP="00312EB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отчетности по налогам, сборам, страховым взносам и иным обязательным платежам в инспекцию Федеральной налоговой службы,</w:t>
      </w:r>
    </w:p>
    <w:p w:rsidR="00312EB5" w:rsidRPr="00312EB5" w:rsidRDefault="00312EB5" w:rsidP="00312EB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отчетности по страховым взносам и сведениям персонифицированного учета в отделение Пенсионного фонда РФ, Фонда социального страхования РФ и Федеральной налоговой службы,</w:t>
      </w:r>
    </w:p>
    <w:p w:rsidR="00312EB5" w:rsidRPr="00312EB5" w:rsidRDefault="00312EB5" w:rsidP="00312EB5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деятельности учреждения на официальном сайте bus.gov.ru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 xml:space="preserve">Кроме случаев обязательного проведения инвентаризации (п 1.5, 1.6 Приказа 49), в учреждении проводится: </w:t>
      </w:r>
    </w:p>
    <w:p w:rsidR="00312EB5" w:rsidRPr="00312EB5" w:rsidRDefault="00312EB5" w:rsidP="0031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кассы (в том числе наличных денег и денежных документов) – не реже 1 раза в месяц; решением председателя инвентаризационной комиссии может быть проведена внезапная инвентаризация кассы</w:t>
      </w:r>
    </w:p>
    <w:p w:rsidR="00312EB5" w:rsidRPr="00312EB5" w:rsidRDefault="00312EB5" w:rsidP="0031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инвентаризация 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t>при смене материально ответственных лиц, выявлении фактов хищения, стихийных бедствиях и т.д.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Списание и выдача материалов производится в следующем порядке: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Списание канцелярских принадлежностей производится по Ведомости выдачи материальных ценностей на нужды учреждения (ф. 0504210) в момент выдачи их в отдел по нормам, установленным Приказом Руководителя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Списание чистящих и моющих средств производится по Ведомости выдачи материальных ценностей на нужды учреждения (ф. 0504210)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Списание ГСМ оформляется Актом о списании материальных запасов (ф. 0504230), оформленным на основании Путевых листов легкового автомобиля (Типовая межотраслевая форма N 3) (ОКУД 0345001). Нормы расхода ГСМ разрабатываются учреждением на основании Методических рекомендаций, введенных в действие Распоряжением Минтранса России от 14.03.2008 N АМ-23-р и утверждаются Приказом Руководителя.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Выдача спецодежды в личное пользование оформляется на основании Ведомости выдачи материальных ценностей на нужды учреждения (ф. 0504210) (Требования-накладной (ф. 0504204)) с одновременным отражением на </w:t>
      </w: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счете 27 «Материальные ценности, выданные в личное пользование работникам (сотрудникам)»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Передача материальных запасов для производства готовой продукции отражается как внутреннее перемещение с оформлением Требования-накладной (ф. 0504204)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Материальные запасы, у которых истек срок годности, списываются с учета на основании Акта о списании материальных запасов (ф. 0504230) по результатам проведенной инвентаризации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Списание материальных запасов, реализованных организациям и физическим лицам, оформляется Накладной на отпуск материалов (материальных ценностей) на сторону (ф. 0504205)</w:t>
      </w:r>
    </w:p>
    <w:p w:rsidR="00312EB5" w:rsidRPr="00312EB5" w:rsidRDefault="00312EB5" w:rsidP="00312E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В иных случаях, не определенных настоящим пунктом Учетной политики для списания материальных запасов используется Акт о списании материальных запасов (ф. 0504230)</w:t>
      </w:r>
    </w:p>
    <w:p w:rsidR="00312EB5" w:rsidRPr="00312EB5" w:rsidRDefault="00312EB5" w:rsidP="00312EB5">
      <w:pPr>
        <w:pStyle w:val="a3"/>
        <w:spacing w:after="6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Расчеты с подотчетными лицами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Перечень лиц, имеющих право получать под отчет денежные средства и денежные документы, устанавливается Приказом Руководителя. 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сумма, подлежащая выдаче под отчет, составляет 100.000 рублей. 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выдачи подотчетной суммы устанавливается 3 месяца. 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расчете наличными по одной сделке между юридическими лицами Учреждение учитывает максимальный размер, установленный Банком России – 100.000 рублей. 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денежных средств под отчет работник оформляет письменное Заявление (форма З-1, разработана Учреждением самостоятельно) с указанием суммы аванса, назначения аванса, расчета (обоснования) размера аванса и срока, на который он выдается. 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Выдача новой подотчетной суммы допускается при отсутствии за подотчетным лицом задолженности по денежным средствам, по которым наступил срок предоставления Авансового отчета.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 и Заявления на возмещение понесенных расходов (форма З-2, разработана Учреждением самостоятельно).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Порядок направления сотрудников в служебные командировки и возмещения командировочных расходов установлен Положением о командировках (</w:t>
      </w:r>
      <w:r w:rsidRPr="00312EB5">
        <w:rPr>
          <w:rFonts w:ascii="Times New Roman" w:eastAsia="Times New Roman" w:hAnsi="Times New Roman" w:cs="Times New Roman"/>
          <w:b/>
          <w:sz w:val="24"/>
          <w:szCs w:val="24"/>
        </w:rPr>
        <w:t>Приложение №5 к Учетной политике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Если при увольнении (или смерти) работника учреждение своевременно не произвело с ним расчет по подотчетным суммам до конца отчетного года, сумма дебиторской задолженности, отраженная на счете 0 20800 </w:t>
      </w:r>
      <w:proofErr w:type="gramStart"/>
      <w:r w:rsidRPr="00312EB5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gram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в дебет счета 0 20930 000 «Расчеты по компенсации затрат». В аналогичном порядке переносится задолженность по подотчетным лицам, с которыми осуществляется претензионная работа, в том числе в случае оспаривания сумм задолженности (п. 109 Инструкции 174н).</w:t>
      </w:r>
    </w:p>
    <w:p w:rsidR="00312EB5" w:rsidRPr="00312EB5" w:rsidRDefault="00312EB5" w:rsidP="00312EB5">
      <w:pPr>
        <w:pStyle w:val="a3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pStyle w:val="a3"/>
        <w:spacing w:after="60" w:line="240" w:lineRule="auto"/>
        <w:ind w:left="12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Расчеты с персоналом по оплате труда</w:t>
      </w:r>
    </w:p>
    <w:p w:rsidR="00312EB5" w:rsidRPr="00312EB5" w:rsidRDefault="00312EB5" w:rsidP="00312EB5">
      <w:pPr>
        <w:pStyle w:val="a3"/>
        <w:tabs>
          <w:tab w:val="left" w:pos="6237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привлечения работников Учреждения к мероприятиям по созданию  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активов. 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При этом рабочее время указанных работников, затраченное ими на создание основных средств или нематериальных активов, оформляется заказами-нарядами и не отражается в   табелях учета рабочего времени.   При невозможности точно определить количество рабочего времени, затраченного на создание основных средств или нематериальных активов, вся сумма начисленной заработной платы относится на   текущие расходы.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Расчеты с работниками по оплате труда и прочим выплатам осуществляются через личные банковские карты работников. Перечисление сумм заработной платы, прочих выплат на банковские карты работников отражается проводкой </w:t>
      </w: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0 30211 830 </w:t>
      </w: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0 20111 610 (Письмо Минфина РФ от 8 июля 2015 г. N 02-07-07/39464).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2EB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312E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Расчетные листы выдаются один в </w:t>
      </w:r>
      <w:proofErr w:type="gramStart"/>
      <w:r w:rsidRPr="00312EB5">
        <w:rPr>
          <w:rFonts w:ascii="Times New Roman" w:eastAsia="Times New Roman" w:hAnsi="Times New Roman" w:cs="Times New Roman"/>
          <w:color w:val="00000A"/>
          <w:sz w:val="24"/>
          <w:szCs w:val="24"/>
        </w:rPr>
        <w:t>месяц  при</w:t>
      </w:r>
      <w:proofErr w:type="gramEnd"/>
      <w:r w:rsidRPr="00312EB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перечислении заработной платы за вторую половину месяца либо с 1 числа месяца следующего на месяцем начисления заработной платы каждому работнику под подпись  в  журнале учета выдачи расчетных листов. 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 увольняется, расчетный листок выдается в день увольнения - 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последний рабочий день.</w:t>
      </w:r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 xml:space="preserve">  Форма расчетного листа утверждается Директором по согласование с председателем профсоюзной организации.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Табель учета использования рабочего времени (ф. 0504421) ведется по отклонениям от нормального использования рабочего времени (Приказ 52н).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учет расчетов по оплате труда и стипендиям ведется в Журнале операций расчетов по оплате труда по отделам (п. 257 Инструкции 157н). 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</w:rPr>
        <w:t>Резервы учреждения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Резервы, создаваемые учреждением, учитываются на счетах 0 40160 000. Резервы в учреждении создаются на следующие цели: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для предстоящей оплаты отпусков за фактически отработанное время, включая платежи на обязательное социальное страхование сотрудника (служащего) учреждения – по счетам 0 40160 211 (213) (далее – резерв на отпуска); </w:t>
      </w:r>
    </w:p>
    <w:p w:rsidR="00312EB5" w:rsidRPr="00312EB5" w:rsidRDefault="00312EB5" w:rsidP="00312E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по обязательствам по уплате коммунальных расходов, по начислению которых существует на отчетную дату неопределенность по их размеру ввиду отсутствия первичных учетных документов – по счету 0 40160 223.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учета. </w:t>
      </w:r>
    </w:p>
    <w:p w:rsidR="00312EB5" w:rsidRPr="00312EB5" w:rsidRDefault="00312EB5" w:rsidP="00312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резерва Учреждение пользуется положениями Письма Минфина РФ от 20.05.2015 N 02-07-07/28998.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</w:t>
      </w: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испектора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кадрам учреждения и средней заработной платы по учреждению в целом. Резерв при этом рассчитывается ежегодно, как сумма оплаты отпусков работникам за фактически отработанное время,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 </w:t>
      </w:r>
    </w:p>
    <w:p w:rsidR="00312EB5" w:rsidRPr="00312EB5" w:rsidRDefault="00312EB5" w:rsidP="00312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 отпусков = К * </w:t>
      </w: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ЗПср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312EB5" w:rsidRPr="00312EB5" w:rsidRDefault="00312EB5" w:rsidP="00312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- общее количество не использованных всеми сотрудниками дней отпуска за период с начала работы на дату расчета (31 декабря отчетного года);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proofErr w:type="spellStart"/>
      <w:r w:rsidRPr="00312EB5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312EB5">
        <w:rPr>
          <w:rFonts w:ascii="Times New Roman" w:eastAsia="Times New Roman" w:hAnsi="Times New Roman" w:cs="Times New Roman"/>
          <w:sz w:val="24"/>
          <w:szCs w:val="24"/>
        </w:rPr>
        <w:t>среднедневной  заработок</w:t>
      </w:r>
      <w:proofErr w:type="gramEnd"/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сотрудников, исчисленный по правилам расчета среднего заработка для оплаты отпусков(компенсаций за неиспользованный отпуск) на дату расчета резерва.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proofErr w:type="spellStart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ЗПср</w:t>
      </w:r>
      <w:proofErr w:type="spellEnd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= Ф/12мес/</w:t>
      </w:r>
      <w:proofErr w:type="spellStart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Чср</w:t>
      </w:r>
      <w:proofErr w:type="spellEnd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/29,3 где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 xml:space="preserve">Ф -  годовой фонд заработной платы всех сотрудников учреждения на дату расчета, из которого </w:t>
      </w:r>
      <w:proofErr w:type="gramStart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исключаются  выплаты</w:t>
      </w:r>
      <w:proofErr w:type="gramEnd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 xml:space="preserve"> социального характера, пособия по временной нетрудоспособности за счет работодателя и т.п.;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proofErr w:type="spellStart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Чср</w:t>
      </w:r>
      <w:proofErr w:type="spellEnd"/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- среднесписочная численность работников;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</w:pPr>
      <w:r w:rsidRPr="00312EB5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ar-SA"/>
        </w:rPr>
        <w:t>29,3-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 среднемесячное число календарных дней в году.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Операции по исполнению резервов отпусков отражаются в конце каждого квартала.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>Сумма в резерв начисляется ежеквартально последним днем квартала. При недостаточности сумм резерва учреждения Главным бухгалтером осуществляется его корректировка.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B5">
        <w:rPr>
          <w:rFonts w:ascii="Times New Roman" w:eastAsia="Times New Roman" w:hAnsi="Times New Roman" w:cs="Times New Roman"/>
          <w:sz w:val="24"/>
          <w:szCs w:val="24"/>
        </w:rPr>
        <w:t xml:space="preserve"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</w:t>
      </w:r>
      <w:r w:rsidRPr="00312EB5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 резерв предстоящих расходов, осуществляется за счет суммы созданного резерва.</w:t>
      </w:r>
    </w:p>
    <w:p w:rsidR="00312EB5" w:rsidRPr="00312EB5" w:rsidRDefault="00312EB5" w:rsidP="00312EB5">
      <w:pPr>
        <w:spacing w:after="277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Бюджетная отчетность</w:t>
      </w:r>
    </w:p>
    <w:p w:rsidR="00312EB5" w:rsidRPr="00312EB5" w:rsidRDefault="00312EB5" w:rsidP="00312EB5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Бюджетная отчетность составляется на основании аналитического и синтетического учета по формам, в объеме и </w:t>
      </w:r>
      <w:proofErr w:type="gramStart"/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сроки</w:t>
      </w:r>
      <w:proofErr w:type="gramEnd"/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установленные приказами департамента финансов Воронежской области и бюджетным законодательством.</w:t>
      </w:r>
    </w:p>
    <w:p w:rsidR="00312EB5" w:rsidRPr="00312EB5" w:rsidRDefault="00312EB5" w:rsidP="00312EB5">
      <w:pPr>
        <w:spacing w:after="317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Иная отчетность представляется уполномоченным органам в установленные сроки и по установленным формам.</w:t>
      </w:r>
    </w:p>
    <w:p w:rsidR="00312EB5" w:rsidRPr="00312EB5" w:rsidRDefault="00312EB5" w:rsidP="00312EB5">
      <w:pPr>
        <w:keepNext/>
        <w:keepLines/>
        <w:spacing w:after="242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о движении денежных средств</w:t>
      </w:r>
    </w:p>
    <w:p w:rsidR="00312EB5" w:rsidRPr="00312EB5" w:rsidRDefault="00312EB5" w:rsidP="00312EB5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движении денежных средств составляется в разрезе кодов классификации операций сектора государственного управления (КОСГУ) на основании аналитических данных по видам поступлений и выбытий, отраженных в бухгалтерском учете.</w:t>
      </w:r>
    </w:p>
    <w:p w:rsidR="00312EB5" w:rsidRPr="00312EB5" w:rsidRDefault="00312EB5" w:rsidP="00312EB5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движении денежных средств составляется по форме и согласно порядку его заполнения, установленными инструкциями Министерства финансов Российской Федерации.</w:t>
      </w:r>
    </w:p>
    <w:p w:rsidR="00312EB5" w:rsidRPr="00312EB5" w:rsidRDefault="00312EB5" w:rsidP="00312EB5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Денежные потоки субъекта отчетности отражаются в Отчете о движении денежных средств с подразделением на денежные потоки от текущих, инвестиционных и финансовых операций.</w:t>
      </w:r>
    </w:p>
    <w:p w:rsidR="00312EB5" w:rsidRPr="00312EB5" w:rsidRDefault="00312EB5" w:rsidP="00312EB5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Денежные потоки отражаются в Отчете о движении денежных средств как чистые поступления или выбытия денежных средств, то есть с учетом возвратов, произведенных в отчетном периоде.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Налоговый учет</w:t>
      </w: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Организационная часть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5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313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Учреждение применяет общую систему налогообложения.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6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313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Налоговый учет в учреждении ведется вручную и автоматизированным способом с применением программы 1С.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7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313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Регистры налогового учета ведутся на основе данных бюджетного учета. В качестве регистров налогового учета используются регистры бюджетного учета и самостоятельно разработанные учреждением регистры налогового </w:t>
      </w:r>
      <w:proofErr w:type="gramStart"/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учета..</w:t>
      </w:r>
      <w:proofErr w:type="gramEnd"/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8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314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Налоговые регистры на бумажных носителях формируются учреждением ежеквартально.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9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314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0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80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312E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Методическая часть</w:t>
      </w:r>
    </w:p>
    <w:bookmarkEnd w:id="0"/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 на прибыль организаций 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 на доходы физических лиц (НДФЛ)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Страховые взносы 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5095"/>
      <w:bookmarkEnd w:id="1"/>
      <w:r w:rsidRPr="00312E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Налог на прибыль организаций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Учреждение применяет налоговую ставку по налогу на прибыль 20 процентов ко всей налоговой базе.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1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284.1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Учреждение определяет доходы и расходы методом начисления.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2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п. 1 ст. 271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3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272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Учет доходов осуществляется в регистрах налогового учета, разработанных учреждением.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Отчетными периодами по налогу на прибыль признаются первый квартал, полугодие и девять месяцев, год календарного года.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4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285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5108"/>
      <w:bookmarkEnd w:id="2"/>
      <w:r w:rsidRPr="00312E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Налог на доходы физических лиц (НДФЛ)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 с применением программы 1С.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5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ст. 230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формам.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(Основание: </w:t>
      </w:r>
      <w:hyperlink r:id="rId16" w:history="1">
        <w:r w:rsidRPr="00312E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п. 3 ст. 218</w:t>
        </w:r>
      </w:hyperlink>
      <w:r w:rsidRPr="00312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НК РФ)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5116"/>
      <w:bookmarkEnd w:id="3"/>
      <w:r w:rsidRPr="00312E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Страховые взносы</w:t>
      </w: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5" w:rsidRPr="00312EB5" w:rsidRDefault="00312EB5" w:rsidP="0031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 по формам.</w:t>
      </w:r>
    </w:p>
    <w:p w:rsidR="00312EB5" w:rsidRPr="00312EB5" w:rsidRDefault="00312EB5" w:rsidP="0031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EB5" w:rsidRPr="00312EB5" w:rsidRDefault="00312EB5" w:rsidP="00312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2EB5" w:rsidRPr="0031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FF"/>
    <w:multiLevelType w:val="multilevel"/>
    <w:tmpl w:val="76C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D"/>
    <w:rsid w:val="00312EB5"/>
    <w:rsid w:val="004F5144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E514"/>
  <w15:chartTrackingRefBased/>
  <w15:docId w15:val="{04DC4375-51A3-4250-8691-666E5CD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7D6077AB5090368DC0EC34C80C4DF56DC393765B59D68C009517A42ADEF00C579AD94EE1A876Dv9P3O" TargetMode="External"/><Relationship Id="rId13" Type="http://schemas.openxmlformats.org/officeDocument/2006/relationships/hyperlink" Target="consultantplus://offline/ref=BBB7D6077AB5090368DC0EC34C80C4DF56DC393765B59D68C009517A42ADEF00C579AD94EE1B836Ev9P9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B7D6077AB5090368DC0EC34C80C4DF56DC393765B59D68C009517A42ADEF00C579AD94EE1A876Fv9P3O" TargetMode="External"/><Relationship Id="rId12" Type="http://schemas.openxmlformats.org/officeDocument/2006/relationships/hyperlink" Target="consultantplus://offline/ref=BBB7D6077AB5090368DC0EC34C80C4DF56DC393765B59D68C009517A42ADEF00C579AD94EE1B8369v9P3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B7D6077AB5090368DC0EC34C80C4DF56DC393765B59D68C009517A42ADEF00C579AD94E7v1P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B7D6077AB5090368DC0EC34C80C4DF56DC393765B59D68C009517A42ADEF00C579AD94EE1A876Fv9P3O" TargetMode="External"/><Relationship Id="rId11" Type="http://schemas.openxmlformats.org/officeDocument/2006/relationships/hyperlink" Target="consultantplus://offline/ref=BBB7D6077AB5090368DC0EC34C80C4DF56DC393765B59D68C009517A42ADEF00C579AD93EA1Bv8PEO" TargetMode="External"/><Relationship Id="rId5" Type="http://schemas.openxmlformats.org/officeDocument/2006/relationships/hyperlink" Target="consultantplus://offline/ref=BBB7D6077AB5090368DC0EC34C80C4DF56DC393765B59D68C009517A42ADEF00C579AD94EE1A876Fv9P3O" TargetMode="External"/><Relationship Id="rId15" Type="http://schemas.openxmlformats.org/officeDocument/2006/relationships/hyperlink" Target="consultantplus://offline/ref=BBB7D6077AB5090368DC0EC34C80C4DF56DC393765B59D68C009517A42ADEF00C579AD94EE18826Av9P3O" TargetMode="External"/><Relationship Id="rId10" Type="http://schemas.openxmlformats.org/officeDocument/2006/relationships/hyperlink" Target="consultantplus://offline/ref=BBB7D6077AB5090368DC0EC34C80C4DF56DC3B3E62B19D68C009517A42ADEF00C579AD90E8v1P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7D6077AB5090368DC0EC34C80C4DF56DC393765B59D68C009517A42ADEF00C579AD94EE1A876Dv9P3O" TargetMode="External"/><Relationship Id="rId14" Type="http://schemas.openxmlformats.org/officeDocument/2006/relationships/hyperlink" Target="consultantplus://offline/ref=BBB7D6077AB5090368DC0EC34C80C4DF56DC393765B59D68C009517A42ADEF00C579AD94EE1B816Cv9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2019-02-01T11:20:00Z</dcterms:created>
  <dcterms:modified xsi:type="dcterms:W3CDTF">2019-02-01T11:29:00Z</dcterms:modified>
</cp:coreProperties>
</file>